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225" w:beforeAutospacing="0" w:after="0" w:afterAutospacing="0" w:line="405" w:lineRule="atLeast"/>
        <w:ind w:right="0"/>
        <w:jc w:val="left"/>
        <w:rPr>
          <w:rFonts w:hint="eastAsia" w:ascii="仿宋" w:hAnsi="仿宋" w:eastAsia="仿宋" w:cs="仿宋"/>
          <w:b w:val="0"/>
          <w:bCs w:val="0"/>
          <w:color w:val="151515"/>
          <w:kern w:val="0"/>
          <w:sz w:val="32"/>
          <w:szCs w:val="32"/>
          <w:shd w:val="clear" w:fill="FFFFFF"/>
          <w:lang w:val="en-US" w:eastAsia="zh-CN" w:bidi="ar"/>
        </w:rPr>
      </w:pPr>
      <w:r>
        <w:rPr>
          <w:rFonts w:hint="eastAsia" w:ascii="仿宋" w:hAnsi="仿宋" w:eastAsia="仿宋" w:cs="仿宋"/>
          <w:b w:val="0"/>
          <w:bCs w:val="0"/>
          <w:color w:val="151515"/>
          <w:kern w:val="0"/>
          <w:sz w:val="32"/>
          <w:szCs w:val="32"/>
          <w:shd w:val="clear" w:fill="FFFFFF"/>
          <w:lang w:val="en-US" w:eastAsia="zh-CN" w:bidi="ar"/>
        </w:rPr>
        <w:t>附件：</w:t>
      </w:r>
    </w:p>
    <w:p>
      <w:pPr>
        <w:pStyle w:val="14"/>
        <w:ind w:left="0" w:leftChars="0" w:firstLine="0" w:firstLineChars="0"/>
        <w:rPr>
          <w:rFonts w:hint="eastAsia"/>
          <w:sz w:val="24"/>
          <w:szCs w:val="13"/>
        </w:rPr>
      </w:pPr>
    </w:p>
    <w:p>
      <w:pPr>
        <w:keepNext w:val="0"/>
        <w:keepLines w:val="0"/>
        <w:pageBreakBefore w:val="0"/>
        <w:widowControl w:val="0"/>
        <w:wordWrap/>
        <w:overflowPunct/>
        <w:topLinePunct w:val="0"/>
        <w:bidi w:val="0"/>
        <w:spacing w:line="360" w:lineRule="auto"/>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浙江省成人教育与职业教育协会2024年工作要点</w:t>
      </w:r>
    </w:p>
    <w:p>
      <w:pPr>
        <w:pStyle w:val="20"/>
        <w:keepNext w:val="0"/>
        <w:keepLines w:val="0"/>
        <w:pageBreakBefore w:val="0"/>
        <w:widowControl w:val="0"/>
        <w:wordWrap/>
        <w:overflowPunct/>
        <w:topLinePunct w:val="0"/>
        <w:bidi w:val="0"/>
        <w:spacing w:line="240" w:lineRule="auto"/>
        <w:ind w:left="0" w:leftChars="0" w:firstLine="0" w:firstLineChars="0"/>
        <w:rPr>
          <w:rFonts w:hint="default" w:ascii="仿宋" w:hAnsi="仿宋" w:eastAsia="仿宋" w:cs="仿宋"/>
          <w:sz w:val="24"/>
          <w:szCs w:val="24"/>
          <w:lang w:val="en-US" w:eastAsia="zh-CN"/>
        </w:rPr>
      </w:pP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2024年省成职教协会工作的总体要求是：以习近平新时代中国特色社会主义思想为指导，深入学习贯彻习近平总书记关于教育的重要讲话精神，深刻领会中国式现代化的本质和要求，进一步明确协会在中国式现代化进程中的政治站位、历史方位、职责定位，围绕中心，服务大局，加强调查研究、学术活动、专题培训、咨询服务，聚焦“三支队伍”建设，不断提高研究能力、服务能力、协调能力和创新能力，团结广大会员，奋力谱写中国式现代化浙江成职教新篇章。</w:t>
      </w:r>
    </w:p>
    <w:p>
      <w:pPr>
        <w:pStyle w:val="7"/>
        <w:ind w:left="0" w:leftChars="0" w:firstLine="643" w:firstLineChars="200"/>
        <w:rPr>
          <w:rFonts w:hint="default"/>
          <w:color w:val="auto"/>
          <w:sz w:val="32"/>
          <w:szCs w:val="32"/>
          <w:lang w:val="en-US" w:eastAsia="zh-CN"/>
        </w:rPr>
      </w:pPr>
      <w:r>
        <w:rPr>
          <w:rFonts w:hint="eastAsia" w:ascii="仿宋" w:hAnsi="仿宋" w:eastAsia="仿宋" w:cs="仿宋"/>
          <w:b/>
          <w:bCs/>
          <w:color w:val="auto"/>
          <w:kern w:val="2"/>
          <w:sz w:val="32"/>
          <w:szCs w:val="32"/>
          <w:lang w:val="en-US" w:eastAsia="zh-CN" w:bidi="ar-SA"/>
        </w:rPr>
        <w:t>（一）开好会员代表大会和换届工作</w:t>
      </w:r>
    </w:p>
    <w:p>
      <w:pPr>
        <w:pStyle w:val="20"/>
        <w:numPr>
          <w:ilvl w:val="0"/>
          <w:numId w:val="0"/>
        </w:numPr>
        <w:spacing w:line="360" w:lineRule="auto"/>
        <w:ind w:firstLine="640" w:firstLineChars="200"/>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1.筹备协会换届工作。按照规章流程，制定换届方案、召开换届筹备会议、成立换届工作小组，高质量准备会议材料和报告，确保换届工作的科学、规范和公平。</w:t>
      </w:r>
    </w:p>
    <w:p>
      <w:pPr>
        <w:pStyle w:val="20"/>
        <w:numPr>
          <w:ilvl w:val="0"/>
          <w:numId w:val="0"/>
        </w:numPr>
        <w:spacing w:line="360" w:lineRule="auto"/>
        <w:ind w:firstLine="640" w:firstLineChars="200"/>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2.开好会员代表大会。组织召开第七届会员代表大会，完成协会理事会换届工作。</w:t>
      </w:r>
    </w:p>
    <w:p>
      <w:pPr>
        <w:pStyle w:val="20"/>
        <w:numPr>
          <w:ilvl w:val="0"/>
          <w:numId w:val="0"/>
        </w:numPr>
        <w:spacing w:line="360" w:lineRule="auto"/>
        <w:ind w:firstLine="640" w:firstLineChars="200"/>
        <w:rPr>
          <w:rFonts w:hint="default" w:ascii="仿宋" w:hAnsi="仿宋" w:eastAsia="仿宋" w:cs="仿宋"/>
          <w:b/>
          <w:bCs/>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3.召开年度常规会议。组织协会会长办公会议、秘书长工作会议、常务理事会议、全体理事年会等会议，总结和布置工作，审议工作报告，努力把协会办成会员满意的社团组织。</w:t>
      </w:r>
    </w:p>
    <w:p>
      <w:pPr>
        <w:pStyle w:val="7"/>
        <w:spacing w:line="360" w:lineRule="auto"/>
        <w:ind w:left="0" w:leftChars="0"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（二）持续开展高质量学术研究活动</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组织优秀教科研成果评选。与省教育厅职成教教研室共同组织开展2024年度职成教科研优秀成果评选活动，严格按照评审标准，遴选出一批具有一定学术水平和可供借鉴、复制、推广的研究成果，以科研力量助推职业教育与成人继续教育教学质量整体提升。</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开展课题研究指导。制定发布2024年度协会教科研课题研究指南，立项一批研究课题，做好课题立项申报、评审、公示和开题等工作，加强研究过程的指导、监督和管理。同时，及时转发各级各类科研课题申报通知，组织指导广大会员单位积极申报全国教科规划、省哲社科规划、省教科规划、省社科联等各级各类科研课题，努力提升全省职业教育与成人继续教育科研水平。</w:t>
      </w:r>
    </w:p>
    <w:p>
      <w:pPr>
        <w:pStyle w:val="20"/>
        <w:numPr>
          <w:ilvl w:val="0"/>
          <w:numId w:val="0"/>
        </w:numPr>
        <w:spacing w:line="360" w:lineRule="auto"/>
        <w:ind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6.组织特色学术会议。依照各分会的特色，在例行年会的基础上，创造性地开展相关学会活动，在重视活动广泛开展的同时，注重提高活动的质量，提高吸引力和社会影响力。组织会员单位参与</w:t>
      </w:r>
      <w:r>
        <w:rPr>
          <w:rFonts w:hint="eastAsia" w:ascii="仿宋" w:hAnsi="仿宋" w:eastAsia="仿宋"/>
          <w:color w:val="auto"/>
          <w:sz w:val="32"/>
          <w:szCs w:val="32"/>
        </w:rPr>
        <w:t>长三角职业教育联合学术活动</w:t>
      </w:r>
      <w:r>
        <w:rPr>
          <w:rFonts w:hint="eastAsia" w:ascii="仿宋" w:hAnsi="仿宋" w:eastAsia="仿宋"/>
          <w:color w:val="auto"/>
          <w:sz w:val="32"/>
          <w:szCs w:val="32"/>
          <w:lang w:eastAsia="zh-CN"/>
        </w:rPr>
        <w:t>。</w:t>
      </w:r>
    </w:p>
    <w:p>
      <w:pPr>
        <w:pStyle w:val="7"/>
        <w:spacing w:line="360" w:lineRule="auto"/>
        <w:ind w:left="0" w:leftChars="0"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（三）聚焦队伍建设开展培训和交流</w:t>
      </w:r>
    </w:p>
    <w:p>
      <w:pPr>
        <w:pStyle w:val="7"/>
        <w:spacing w:line="360" w:lineRule="auto"/>
        <w:ind w:left="0" w:leftChars="0" w:firstLine="640" w:firstLineChars="200"/>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7.组织“之江职教讲坛”活动。继续发挥学术平台优势携手各会员单位，通过线上线下相结合的方式，为会员单位教师提供关于职教发展、政策解读、学术科研等内容。</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8.开展继续教育系列培训。面向全体职业教育和成人教育教师，开展全省社区教育和职业教育继续教育系列培训，提高职业教育与成人教育教师职业素质、教科研水平和工作能力。</w:t>
      </w:r>
    </w:p>
    <w:p>
      <w:pPr>
        <w:pStyle w:val="7"/>
        <w:ind w:left="0" w:leftChars="0" w:firstLine="640" w:firstLineChars="200"/>
        <w:rPr>
          <w:rFonts w:hint="eastAsia" w:eastAsia="仿宋"/>
          <w:color w:val="auto"/>
          <w:sz w:val="32"/>
          <w:szCs w:val="32"/>
          <w:lang w:val="en-US" w:eastAsia="zh-CN"/>
        </w:rPr>
      </w:pPr>
      <w:r>
        <w:rPr>
          <w:rFonts w:hint="eastAsia" w:ascii="仿宋" w:hAnsi="仿宋" w:eastAsia="仿宋" w:cs="仿宋"/>
          <w:b w:val="0"/>
          <w:bCs w:val="0"/>
          <w:color w:val="auto"/>
          <w:kern w:val="2"/>
          <w:sz w:val="32"/>
          <w:szCs w:val="32"/>
          <w:lang w:val="en-US" w:eastAsia="zh-CN" w:bidi="ar-SA"/>
        </w:rPr>
        <w:t>9.加强长三角职教合作交流。参与组建长三角职教学会（协会）合作联盟，组织会员单位参与长三角职业教育联合学术活动，促进长三角职业院校相互交流学习考察，推动教师队伍建设</w:t>
      </w:r>
      <w:r>
        <w:rPr>
          <w:rFonts w:hint="eastAsia" w:ascii="仿宋" w:hAnsi="仿宋" w:eastAsia="仿宋"/>
          <w:color w:val="auto"/>
          <w:sz w:val="32"/>
          <w:szCs w:val="32"/>
          <w:lang w:eastAsia="zh-CN"/>
        </w:rPr>
        <w:t>。</w:t>
      </w:r>
    </w:p>
    <w:p>
      <w:pPr>
        <w:pStyle w:val="7"/>
        <w:spacing w:line="360" w:lineRule="auto"/>
        <w:ind w:left="0" w:leftChars="0"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（四）认真协办浙江职成教两大活动周</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10.协办省职业教育活动周。积极配合省教育厅继续办好2024年全省职业教育活动周，认真组织开展各类活动。通过线上线下相结合的方式组织开展校园开放体验、社会服务、教学成果展示等丰富多彩的活动，着力展现职业教育的特色与魅力。充分发挥各会员单位资源优势，丰富活动形式和活动内容，进一步提高全社会对职业教育的认识和支持。</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11.协办省全民终身学习活动周。积极配合省教育厅持续办好2024年全省全民终身学习活动周总开幕式。总结往年经验，丰富活动内容，创新活动形式，积极营造活动氛围，积极构建服务全民终身学习的教育体系，积极探索终身学习型社会的浙江示范。组织开展2024年浙江省“百姓学习之星”“终身学习品牌项目”等推介活动，认真发掘全民终身学习的励志故事和典型人物以及终身学习的优秀工作案例和成果，树立先进典型和。</w:t>
      </w:r>
    </w:p>
    <w:p>
      <w:pPr>
        <w:pStyle w:val="20"/>
        <w:spacing w:line="360" w:lineRule="auto"/>
        <w:rPr>
          <w:rFonts w:hint="default"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（五）不断完善协会服务工作</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12.编辑协会《工作简报》。编辑《工作简报》4期，精心组织稿件，积极发挥其对协会工作的交流、宣传功能。</w:t>
      </w:r>
    </w:p>
    <w:p>
      <w:pPr>
        <w:pStyle w:val="2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13.强化网站管理。及时更新充实栏目内容，呈现亮点、彰显特色。适时开展网站通讯员队伍培训，传递更多的浙江实践、浙江经验和浙江样板，努力把“浙江职成教网”办成职成教界有影响的网站。</w:t>
      </w:r>
    </w:p>
    <w:p>
      <w:pPr>
        <w:pStyle w:val="20"/>
        <w:keepNext w:val="0"/>
        <w:keepLines w:val="0"/>
        <w:pageBreakBefore w:val="0"/>
        <w:widowControl w:val="0"/>
        <w:wordWrap/>
        <w:overflowPunct/>
        <w:topLinePunct w:val="0"/>
        <w:bidi w:val="0"/>
        <w:spacing w:line="360" w:lineRule="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14.做好会费收缴及其它工作。结合各分会年会，做好2024年会费收缴工作，严格按管理办法使用会费。做好年检及其它日常工作。</w:t>
      </w:r>
    </w:p>
    <w:p>
      <w:pPr>
        <w:pStyle w:val="7"/>
        <w:ind w:left="0" w:leftChars="0" w:firstLine="0" w:firstLineChars="0"/>
        <w:rPr>
          <w:rFonts w:hint="eastAsia"/>
          <w:lang w:val="en-US" w:eastAsia="zh-CN"/>
        </w:rPr>
      </w:pPr>
    </w:p>
    <w:p>
      <w:pPr>
        <w:pStyle w:val="7"/>
        <w:ind w:left="0" w:leftChars="0" w:firstLine="0" w:firstLineChars="0"/>
        <w:rPr>
          <w:rFonts w:hint="eastAsia" w:ascii="仿宋" w:hAnsi="仿宋" w:eastAsia="仿宋" w:cs="仿宋"/>
          <w:b w:val="0"/>
          <w:bCs w:val="0"/>
          <w:color w:val="auto"/>
          <w:kern w:val="2"/>
          <w:sz w:val="32"/>
          <w:szCs w:val="32"/>
          <w:lang w:val="en-US" w:eastAsia="zh-CN" w:bidi="ar-SA"/>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rPr>
          <w:rFonts w:hint="eastAsia"/>
          <w:lang w:val="en-US" w:eastAsia="zh-CN"/>
        </w:rPr>
      </w:pPr>
    </w:p>
    <w:p>
      <w:pPr>
        <w:spacing w:line="360" w:lineRule="auto"/>
        <w:jc w:val="center"/>
        <w:rPr>
          <w:rFonts w:hint="eastAsia"/>
          <w:lang w:val="en-US" w:eastAsia="zh-CN"/>
        </w:rPr>
      </w:pPr>
      <w:r>
        <w:rPr>
          <w:rFonts w:hint="eastAsia" w:ascii="仿宋" w:hAnsi="仿宋" w:eastAsia="仿宋" w:cs="仿宋"/>
          <w:b/>
          <w:bCs/>
          <w:kern w:val="2"/>
          <w:sz w:val="32"/>
          <w:szCs w:val="32"/>
          <w:lang w:val="en-US" w:eastAsia="zh-CN" w:bidi="ar-SA"/>
        </w:rPr>
        <w:t>省协会2024年度季度工作计划表</w:t>
      </w:r>
    </w:p>
    <w:tbl>
      <w:tblPr>
        <w:tblStyle w:val="16"/>
        <w:tblpPr w:leftFromText="180" w:rightFromText="180" w:vertAnchor="text" w:horzAnchor="page" w:tblpX="1815" w:tblpY="617"/>
        <w:tblOverlap w:val="never"/>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5257"/>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Align w:val="top"/>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季度</w:t>
            </w:r>
          </w:p>
        </w:tc>
        <w:tc>
          <w:tcPr>
            <w:tcW w:w="5257" w:type="dxa"/>
            <w:vAlign w:val="top"/>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工作内容</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kern w:val="2"/>
                <w:sz w:val="24"/>
                <w:szCs w:val="24"/>
                <w:vertAlign w:val="baseline"/>
                <w:lang w:val="en-US" w:eastAsia="zh-CN" w:bidi="ar-SA"/>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1-3月</w:t>
            </w: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1.做好协会2023年有关文件资料整理归档工作</w:t>
            </w:r>
          </w:p>
        </w:tc>
        <w:tc>
          <w:tcPr>
            <w:tcW w:w="2276" w:type="dxa"/>
            <w:vAlign w:val="center"/>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2.修改定稿《协会2023年工作总结和2024年工作要点》，制定2024年度工作计划</w:t>
            </w:r>
          </w:p>
        </w:tc>
        <w:tc>
          <w:tcPr>
            <w:tcW w:w="2276" w:type="dxa"/>
            <w:vAlign w:val="center"/>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3.召开2024年度协会</w:t>
            </w:r>
            <w:bookmarkStart w:id="0" w:name="_GoBack"/>
            <w:bookmarkEnd w:id="0"/>
            <w:r>
              <w:rPr>
                <w:rFonts w:hint="eastAsia" w:ascii="仿宋" w:hAnsi="仿宋" w:eastAsia="仿宋" w:cs="仿宋"/>
                <w:color w:val="auto"/>
                <w:kern w:val="2"/>
                <w:sz w:val="24"/>
                <w:szCs w:val="24"/>
                <w:vertAlign w:val="baseline"/>
                <w:lang w:val="en-US" w:eastAsia="zh-CN" w:bidi="ar-SA"/>
              </w:rPr>
              <w:t>会长、秘书长工作会议</w:t>
            </w:r>
          </w:p>
        </w:tc>
        <w:tc>
          <w:tcPr>
            <w:tcW w:w="2276" w:type="dxa"/>
            <w:vAlign w:val="center"/>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4.组织学习习近平新时代中国特色社会主义思想和党的二十大精神</w:t>
            </w:r>
          </w:p>
        </w:tc>
        <w:tc>
          <w:tcPr>
            <w:tcW w:w="2276" w:type="dxa"/>
            <w:vAlign w:val="center"/>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5.</w:t>
            </w:r>
            <w:r>
              <w:rPr>
                <w:rFonts w:hint="eastAsia" w:ascii="仿宋" w:hAnsi="仿宋" w:eastAsia="仿宋" w:cs="仿宋"/>
                <w:b w:val="0"/>
                <w:bCs w:val="0"/>
                <w:color w:val="auto"/>
                <w:sz w:val="24"/>
                <w:szCs w:val="24"/>
                <w:lang w:val="en-US" w:eastAsia="zh-CN"/>
              </w:rPr>
              <w:t>全省社区教育和职业教育继续教育系列培训</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6.“之江职教论坛”第一期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7.编辑印发《协会工作简报》第9期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协会秘书处、职成教网、各分会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4-6月</w:t>
            </w: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8.成立专题调研工作小组，开展专题调研</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9.开展2024年优秀教科研成果评选活动</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协会秘书处、省教育厅职成教教研室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10.协办2024年全省职业教育活动周</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协会秘书处、高职教学分会、中职分会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11.组织指导职业院校、成人学校申报各级各类课题</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12.“之江职教论坛”第二期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numPr>
                <w:ilvl w:val="0"/>
                <w:numId w:val="0"/>
              </w:numPr>
              <w:suppressLineNumbers w:val="0"/>
              <w:spacing w:before="0" w:beforeAutospacing="0" w:after="0" w:afterAutospacing="0" w:line="360" w:lineRule="auto"/>
              <w:ind w:left="0" w:leftChars="0" w:right="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13.编辑印发《协会工作简报》第10期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协会秘书处、职成教网、各分会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14.做好2022、2023年度教科研课题结题工作</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15.做好协会2024年度年检工作</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165" w:type="dxa"/>
            <w:vMerge w:val="restart"/>
            <w:vAlign w:val="center"/>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7-9月</w:t>
            </w: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16.召开协会第七届会员代表大会</w:t>
            </w:r>
          </w:p>
        </w:tc>
        <w:tc>
          <w:tcPr>
            <w:tcW w:w="2276"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17.组织开展2024年度省“百姓学习之星”“终身学习品牌”遴选活动</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协会秘书处、社区教育分会、各市协会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18.协助省教育厅印发《关于举办2024年浙江省全民终身学习活动周的通知》</w:t>
            </w:r>
          </w:p>
        </w:tc>
        <w:tc>
          <w:tcPr>
            <w:tcW w:w="2276"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19.“之江职教论坛”第三期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20.做好协会会员会费收缴工作</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21.编辑印发《协会工作简报》第11期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协会秘书处、职成教网、各分会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restart"/>
            <w:vAlign w:val="center"/>
          </w:tcPr>
          <w:p>
            <w:pPr>
              <w:pStyle w:val="20"/>
              <w:keepNext w:val="0"/>
              <w:keepLines w:val="0"/>
              <w:suppressLineNumbers w:val="0"/>
              <w:spacing w:before="0" w:beforeAutospacing="0" w:after="0" w:afterAutospacing="0" w:line="360" w:lineRule="auto"/>
              <w:ind w:left="0" w:leftChars="0" w:right="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10-12月</w:t>
            </w: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22.协办2024年浙江省全民终身学习活动周开幕式</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协会秘书处、社区教育分会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23.做好2022-2023年度协会立项课题结题工作</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协会秘书处、高职科研工作分会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24.做好2024-2025年度协会科研课题立项工作</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25.“之江职教论坛”第四期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26.编辑印发《协会工作简报》第12期</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协会秘书处、职成教网、各分会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vMerge w:val="continue"/>
            <w:vAlign w:val="center"/>
          </w:tcPr>
          <w:p>
            <w:pPr>
              <w:pStyle w:val="20"/>
              <w:keepNext w:val="0"/>
              <w:keepLines w:val="0"/>
              <w:suppressLineNumbers w:val="0"/>
              <w:spacing w:before="0" w:beforeAutospacing="0" w:after="0" w:afterAutospacing="0" w:line="360" w:lineRule="auto"/>
              <w:ind w:left="0" w:right="0"/>
              <w:jc w:val="left"/>
              <w:rPr>
                <w:rFonts w:hint="eastAsia" w:ascii="仿宋" w:hAnsi="仿宋" w:eastAsia="仿宋" w:cs="仿宋"/>
                <w:color w:val="auto"/>
                <w:kern w:val="2"/>
                <w:sz w:val="24"/>
                <w:szCs w:val="24"/>
                <w:vertAlign w:val="baseline"/>
                <w:lang w:val="en-US" w:eastAsia="zh-CN" w:bidi="ar-SA"/>
              </w:rPr>
            </w:pPr>
          </w:p>
        </w:tc>
        <w:tc>
          <w:tcPr>
            <w:tcW w:w="5257" w:type="dxa"/>
            <w:vAlign w:val="center"/>
          </w:tcPr>
          <w:p>
            <w:pPr>
              <w:pStyle w:val="20"/>
              <w:keepNext w:val="0"/>
              <w:keepLines w:val="0"/>
              <w:suppressLineNumbers w:val="0"/>
              <w:spacing w:before="0" w:beforeAutospacing="0" w:after="0" w:afterAutospacing="0" w:line="360" w:lineRule="auto"/>
              <w:ind w:left="0" w:leftChars="0" w:right="0" w:firstLine="0" w:firstLineChars="0"/>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27.做好2024年协会、各分会、各市协会工作总结，谋划2025年工作思路</w:t>
            </w:r>
          </w:p>
        </w:tc>
        <w:tc>
          <w:tcPr>
            <w:tcW w:w="2276" w:type="dxa"/>
            <w:vAlign w:val="top"/>
          </w:tcPr>
          <w:p>
            <w:pPr>
              <w:pStyle w:val="20"/>
              <w:keepNext w:val="0"/>
              <w:keepLines w:val="0"/>
              <w:suppressLineNumbers w:val="0"/>
              <w:spacing w:before="0" w:beforeAutospacing="0" w:after="0" w:afterAutospacing="0" w:line="360" w:lineRule="auto"/>
              <w:ind w:left="0" w:leftChars="0" w:right="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协会秘书处、各分会、各市协会</w:t>
            </w:r>
          </w:p>
        </w:tc>
      </w:tr>
    </w:tbl>
    <w:p>
      <w:pPr>
        <w:pStyle w:val="20"/>
        <w:spacing w:line="360" w:lineRule="auto"/>
        <w:ind w:left="0" w:leftChars="0" w:firstLine="0" w:firstLineChars="0"/>
        <w:rPr>
          <w:rFonts w:hint="eastAsia" w:ascii="仿宋" w:hAnsi="仿宋" w:eastAsia="仿宋" w:cs="仿宋"/>
          <w:kern w:val="2"/>
          <w:sz w:val="28"/>
          <w:szCs w:val="28"/>
          <w:lang w:val="en-US" w:eastAsia="zh-CN" w:bidi="ar-SA"/>
        </w:rPr>
      </w:pPr>
    </w:p>
    <w:p>
      <w:pPr>
        <w:widowControl/>
        <w:numPr>
          <w:ilvl w:val="0"/>
          <w:numId w:val="0"/>
        </w:numPr>
        <w:spacing w:line="520" w:lineRule="exact"/>
        <w:jc w:val="left"/>
        <w:rPr>
          <w:rFonts w:hint="default" w:ascii="仿宋" w:hAnsi="仿宋" w:eastAsia="仿宋" w:cs="仿宋"/>
          <w:sz w:val="32"/>
          <w:szCs w:val="32"/>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1" w:fontKey="{85B3FE9E-9B5F-471B-A20A-31274E622299}"/>
  </w:font>
  <w:font w:name="方正小标宋简体">
    <w:panose1 w:val="02000000000000000000"/>
    <w:charset w:val="86"/>
    <w:family w:val="auto"/>
    <w:pitch w:val="default"/>
    <w:sig w:usb0="00000001" w:usb1="08000000" w:usb2="00000000" w:usb3="00000000" w:csb0="00040000" w:csb1="00000000"/>
    <w:embedRegular r:id="rId2" w:fontKey="{BB7355ED-C6D7-43ED-BBE3-1DDC5F21764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fldChar w:fldCharType="begin"/>
                          </w:r>
                          <w:r>
                            <w:instrText xml:space="preserve"> PAGE   \* MERGEFORMAT </w:instrText>
                          </w:r>
                          <w:r>
                            <w:fldChar w:fldCharType="separate"/>
                          </w:r>
                          <w:r>
                            <w:rPr>
                              <w:lang w:val="zh-CN"/>
                            </w:rPr>
                            <w:t>13</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13</w:t>
                    </w:r>
                    <w:r>
                      <w:rPr>
                        <w:lang w:val="zh-CN"/>
                      </w:rPr>
                      <w:fldChar w:fldCharType="end"/>
                    </w:r>
                  </w:p>
                </w:txbxContent>
              </v:textbox>
            </v:shape>
          </w:pict>
        </mc:Fallback>
      </mc:AlternateConten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NzI2MjQ5MmFlZGE0N2IwMzgyMmE5MDBhYzU1YWYifQ=="/>
  </w:docVars>
  <w:rsids>
    <w:rsidRoot w:val="00FF6448"/>
    <w:rsid w:val="001E7C6A"/>
    <w:rsid w:val="00273748"/>
    <w:rsid w:val="003B11F3"/>
    <w:rsid w:val="003E1602"/>
    <w:rsid w:val="006772E5"/>
    <w:rsid w:val="006D736D"/>
    <w:rsid w:val="007147DE"/>
    <w:rsid w:val="007B7025"/>
    <w:rsid w:val="00AB6FE2"/>
    <w:rsid w:val="00FF6448"/>
    <w:rsid w:val="030E1AB2"/>
    <w:rsid w:val="04161698"/>
    <w:rsid w:val="04E137A4"/>
    <w:rsid w:val="05637401"/>
    <w:rsid w:val="05A76A4C"/>
    <w:rsid w:val="05E14D9D"/>
    <w:rsid w:val="06952CD8"/>
    <w:rsid w:val="074F2F9E"/>
    <w:rsid w:val="07F10288"/>
    <w:rsid w:val="0B3718A7"/>
    <w:rsid w:val="0C6376AC"/>
    <w:rsid w:val="0CC520B1"/>
    <w:rsid w:val="0D6B328F"/>
    <w:rsid w:val="0E3A610B"/>
    <w:rsid w:val="0E4859C4"/>
    <w:rsid w:val="0E4C412A"/>
    <w:rsid w:val="0FB47FE8"/>
    <w:rsid w:val="11E64458"/>
    <w:rsid w:val="12A916CA"/>
    <w:rsid w:val="13E8587F"/>
    <w:rsid w:val="14A43221"/>
    <w:rsid w:val="14E0745C"/>
    <w:rsid w:val="16925159"/>
    <w:rsid w:val="16A173B5"/>
    <w:rsid w:val="17211849"/>
    <w:rsid w:val="176D312B"/>
    <w:rsid w:val="176D5316"/>
    <w:rsid w:val="17853981"/>
    <w:rsid w:val="190E56CF"/>
    <w:rsid w:val="1A81410A"/>
    <w:rsid w:val="1B332996"/>
    <w:rsid w:val="1CAC0ED7"/>
    <w:rsid w:val="1E0D19BE"/>
    <w:rsid w:val="1E4A1AE4"/>
    <w:rsid w:val="1FBB3F92"/>
    <w:rsid w:val="226C5E9B"/>
    <w:rsid w:val="235D0EC5"/>
    <w:rsid w:val="241B52D0"/>
    <w:rsid w:val="252870E7"/>
    <w:rsid w:val="26EA68D8"/>
    <w:rsid w:val="287C4664"/>
    <w:rsid w:val="29175788"/>
    <w:rsid w:val="293B3138"/>
    <w:rsid w:val="2A0E2F17"/>
    <w:rsid w:val="2B4D7144"/>
    <w:rsid w:val="2C652602"/>
    <w:rsid w:val="2D550E5B"/>
    <w:rsid w:val="2E6526F9"/>
    <w:rsid w:val="2F4C6421"/>
    <w:rsid w:val="30760C45"/>
    <w:rsid w:val="30E670ED"/>
    <w:rsid w:val="311334A8"/>
    <w:rsid w:val="31BC429C"/>
    <w:rsid w:val="32761D96"/>
    <w:rsid w:val="338C53E0"/>
    <w:rsid w:val="339C60BF"/>
    <w:rsid w:val="33D360BC"/>
    <w:rsid w:val="33F31A49"/>
    <w:rsid w:val="34AD1ED3"/>
    <w:rsid w:val="35B51AE5"/>
    <w:rsid w:val="373832D4"/>
    <w:rsid w:val="38891BDC"/>
    <w:rsid w:val="3A226D95"/>
    <w:rsid w:val="3A3D6F16"/>
    <w:rsid w:val="3A6A5551"/>
    <w:rsid w:val="3ADF1E3C"/>
    <w:rsid w:val="3BB4578C"/>
    <w:rsid w:val="3DEF579D"/>
    <w:rsid w:val="3E111FAD"/>
    <w:rsid w:val="3ED90ADF"/>
    <w:rsid w:val="3FFA1395"/>
    <w:rsid w:val="401C1679"/>
    <w:rsid w:val="421A7D7F"/>
    <w:rsid w:val="42A63794"/>
    <w:rsid w:val="42A9786C"/>
    <w:rsid w:val="44365E73"/>
    <w:rsid w:val="45F143B0"/>
    <w:rsid w:val="48011E15"/>
    <w:rsid w:val="48D42E20"/>
    <w:rsid w:val="495C0C56"/>
    <w:rsid w:val="49E50443"/>
    <w:rsid w:val="4AA62139"/>
    <w:rsid w:val="4AE179D0"/>
    <w:rsid w:val="4B002E76"/>
    <w:rsid w:val="4B5A2F6F"/>
    <w:rsid w:val="4BAD7CD9"/>
    <w:rsid w:val="4BDD5875"/>
    <w:rsid w:val="4BF60937"/>
    <w:rsid w:val="4CD44745"/>
    <w:rsid w:val="5137640D"/>
    <w:rsid w:val="5426526A"/>
    <w:rsid w:val="543514CC"/>
    <w:rsid w:val="54711BDF"/>
    <w:rsid w:val="54EC0AD9"/>
    <w:rsid w:val="56300958"/>
    <w:rsid w:val="57864B95"/>
    <w:rsid w:val="579F4BC8"/>
    <w:rsid w:val="57A910F7"/>
    <w:rsid w:val="5801655E"/>
    <w:rsid w:val="58C13C94"/>
    <w:rsid w:val="59430A18"/>
    <w:rsid w:val="5A74572B"/>
    <w:rsid w:val="5CC22769"/>
    <w:rsid w:val="5CD449AB"/>
    <w:rsid w:val="5EC24ED2"/>
    <w:rsid w:val="5ECB2778"/>
    <w:rsid w:val="5F9C1039"/>
    <w:rsid w:val="602C67F9"/>
    <w:rsid w:val="603F5885"/>
    <w:rsid w:val="605E1C6C"/>
    <w:rsid w:val="61933F99"/>
    <w:rsid w:val="622231B2"/>
    <w:rsid w:val="63AE78D4"/>
    <w:rsid w:val="63D2554F"/>
    <w:rsid w:val="64C30C0B"/>
    <w:rsid w:val="67BA2941"/>
    <w:rsid w:val="682312D6"/>
    <w:rsid w:val="69FB6D3D"/>
    <w:rsid w:val="6B736708"/>
    <w:rsid w:val="6C841BAD"/>
    <w:rsid w:val="6CFD3B46"/>
    <w:rsid w:val="6D4F426D"/>
    <w:rsid w:val="6DE75F8E"/>
    <w:rsid w:val="6EAB79CE"/>
    <w:rsid w:val="6F253361"/>
    <w:rsid w:val="714C5157"/>
    <w:rsid w:val="715E721C"/>
    <w:rsid w:val="7258197D"/>
    <w:rsid w:val="72952496"/>
    <w:rsid w:val="75CC1DA9"/>
    <w:rsid w:val="75FF55ED"/>
    <w:rsid w:val="76A67E57"/>
    <w:rsid w:val="793C0E18"/>
    <w:rsid w:val="79CE1D81"/>
    <w:rsid w:val="7C903EF9"/>
    <w:rsid w:val="7C96254D"/>
    <w:rsid w:val="7C99484C"/>
    <w:rsid w:val="7D7636F9"/>
    <w:rsid w:val="7E1C0D3A"/>
    <w:rsid w:val="7EA0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autoRedefine/>
    <w:unhideWhenUsed/>
    <w:qFormat/>
    <w:uiPriority w:val="9"/>
    <w:pPr>
      <w:keepNext/>
      <w:keepLines/>
      <w:spacing w:before="260" w:after="260" w:line="415" w:lineRule="auto"/>
      <w:outlineLvl w:val="1"/>
    </w:pPr>
    <w:rPr>
      <w:rFonts w:ascii="Cambria" w:hAnsi="Cambria" w:eastAsia="宋体" w:cs="Times New Roman"/>
      <w:b/>
      <w:bCs/>
      <w:sz w:val="32"/>
      <w:szCs w:val="32"/>
    </w:rPr>
  </w:style>
  <w:style w:type="paragraph" w:styleId="6">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rPr>
      <w:rFonts w:ascii="Times New Roman" w:hAnsi="Times New Roman" w:eastAsia="宋体"/>
    </w:rPr>
  </w:style>
  <w:style w:type="paragraph" w:styleId="3">
    <w:name w:val="Body Text"/>
    <w:basedOn w:val="1"/>
    <w:next w:val="4"/>
    <w:autoRedefine/>
    <w:unhideWhenUsed/>
    <w:qFormat/>
    <w:uiPriority w:val="1"/>
    <w:pPr>
      <w:spacing w:before="121"/>
      <w:ind w:left="754"/>
    </w:pPr>
    <w:rPr>
      <w:rFonts w:ascii="仿宋_GB2312" w:hAnsi="仿宋_GB2312" w:eastAsia="仿宋_GB2312" w:cs="Times New Roman"/>
      <w:sz w:val="32"/>
      <w:szCs w:val="32"/>
    </w:rPr>
  </w:style>
  <w:style w:type="paragraph" w:styleId="4">
    <w:name w:val="toc 5"/>
    <w:basedOn w:val="1"/>
    <w:next w:val="1"/>
    <w:autoRedefine/>
    <w:qFormat/>
    <w:uiPriority w:val="0"/>
    <w:pPr>
      <w:ind w:left="1680" w:leftChars="800"/>
    </w:pPr>
  </w:style>
  <w:style w:type="paragraph" w:styleId="7">
    <w:name w:val="index 6"/>
    <w:basedOn w:val="1"/>
    <w:next w:val="1"/>
    <w:autoRedefine/>
    <w:qFormat/>
    <w:uiPriority w:val="0"/>
    <w:pPr>
      <w:ind w:left="2100"/>
    </w:pPr>
  </w:style>
  <w:style w:type="paragraph" w:styleId="8">
    <w:name w:val="Body Text Indent"/>
    <w:basedOn w:val="1"/>
    <w:autoRedefine/>
    <w:qFormat/>
    <w:uiPriority w:val="0"/>
    <w:pPr>
      <w:spacing w:after="120"/>
      <w:ind w:left="420" w:leftChars="200"/>
    </w:pPr>
    <w:rPr>
      <w:rFonts w:ascii="Calibri" w:hAnsi="Calibri"/>
      <w:szCs w:val="21"/>
    </w:rPr>
  </w:style>
  <w:style w:type="paragraph" w:styleId="9">
    <w:name w:val="Balloon Text"/>
    <w:basedOn w:val="1"/>
    <w:link w:val="19"/>
    <w:autoRedefine/>
    <w:semiHidden/>
    <w:unhideWhenUsed/>
    <w:qFormat/>
    <w:uiPriority w:val="99"/>
    <w:rPr>
      <w:sz w:val="18"/>
      <w:szCs w:val="18"/>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autoRedefine/>
    <w:qFormat/>
    <w:uiPriority w:val="0"/>
    <w:pPr>
      <w:spacing w:before="50" w:beforeLines="50" w:after="120" w:line="480" w:lineRule="auto"/>
      <w:ind w:firstLine="520"/>
    </w:pPr>
  </w:style>
  <w:style w:type="paragraph" w:styleId="1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2"/>
    <w:basedOn w:val="8"/>
    <w:autoRedefine/>
    <w:qFormat/>
    <w:uiPriority w:val="0"/>
    <w:pPr>
      <w:ind w:left="200" w:leftChars="0" w:firstLineChars="200"/>
    </w:pPr>
    <w:rPr>
      <w:rFonts w:ascii="仿宋_GB2312" w:eastAsia="仿宋_GB2312"/>
      <w:b/>
      <w:sz w:val="44"/>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autoRedefine/>
    <w:semiHidden/>
    <w:unhideWhenUsed/>
    <w:qFormat/>
    <w:uiPriority w:val="99"/>
    <w:rPr>
      <w:color w:val="0000FF"/>
      <w:u w:val="single"/>
    </w:rPr>
  </w:style>
  <w:style w:type="character" w:customStyle="1" w:styleId="19">
    <w:name w:val="批注框文本 Char"/>
    <w:basedOn w:val="17"/>
    <w:link w:val="9"/>
    <w:autoRedefine/>
    <w:semiHidden/>
    <w:qFormat/>
    <w:uiPriority w:val="99"/>
    <w:rPr>
      <w:rFonts w:asciiTheme="minorHAnsi" w:hAnsiTheme="minorHAnsi" w:eastAsiaTheme="minorEastAsia" w:cstheme="minorBidi"/>
      <w:kern w:val="2"/>
      <w:sz w:val="18"/>
      <w:szCs w:val="18"/>
    </w:rPr>
  </w:style>
  <w:style w:type="paragraph" w:customStyle="1" w:styleId="20">
    <w:name w:val="Char"/>
    <w:basedOn w:val="1"/>
    <w:next w:val="7"/>
    <w:autoRedefine/>
    <w:semiHidden/>
    <w:qFormat/>
    <w:uiPriority w:val="0"/>
    <w:pPr>
      <w:ind w:firstLine="480" w:firstLineChars="200"/>
    </w:pPr>
    <w:rPr>
      <w:rFonts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2603</Words>
  <Characters>2784</Characters>
  <Lines>1</Lines>
  <Paragraphs>1</Paragraphs>
  <TotalTime>1</TotalTime>
  <ScaleCrop>false</ScaleCrop>
  <LinksUpToDate>false</LinksUpToDate>
  <CharactersWithSpaces>2784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2021-08-05T06:47:00Z</dcterms:created>
  <dc:creator>2013</dc:creator>
  <cp:lastModifiedBy>Administrator</cp:lastModifiedBy>
  <cp:lastPrinted>2024-03-15T06:30:00Z</cp:lastPrinted>
  <dcterms:modified xsi:type="dcterms:W3CDTF">2024-03-18T01:50:35Z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AD56A66839684204BDD36A93A99D022B_13</vt:lpwstr>
  </property>
</Properties>
</file>